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7A91" w14:textId="77777777" w:rsidR="00A03680" w:rsidRPr="00AF5E2E" w:rsidRDefault="00E055AA" w:rsidP="00AF5E2E">
      <w:pPr>
        <w:pStyle w:val="Heading1"/>
        <w:jc w:val="center"/>
        <w:rPr>
          <w:rFonts w:ascii="Georgia" w:hAnsi="Georgia"/>
          <w:b w:val="0"/>
          <w:bCs w:val="0"/>
          <w:sz w:val="28"/>
        </w:rPr>
      </w:pPr>
      <w:r w:rsidRPr="00AF5E2E">
        <w:rPr>
          <w:rFonts w:ascii="Georgia" w:hAnsi="Georgia"/>
          <w:b w:val="0"/>
          <w:bCs w:val="0"/>
          <w:sz w:val="28"/>
        </w:rPr>
        <w:t xml:space="preserve">How is Groundwater </w:t>
      </w:r>
      <w:r w:rsidR="00CD47B3" w:rsidRPr="00AF5E2E">
        <w:rPr>
          <w:rFonts w:ascii="Georgia" w:hAnsi="Georgia"/>
          <w:b w:val="0"/>
          <w:bCs w:val="0"/>
          <w:sz w:val="28"/>
        </w:rPr>
        <w:t xml:space="preserve">Quality and/or Quantity </w:t>
      </w:r>
      <w:r w:rsidRPr="00AF5E2E">
        <w:rPr>
          <w:rFonts w:ascii="Georgia" w:hAnsi="Georgia"/>
          <w:b w:val="0"/>
          <w:bCs w:val="0"/>
          <w:sz w:val="28"/>
        </w:rPr>
        <w:t>Affected by _______</w:t>
      </w:r>
      <w:r w:rsidR="006E7973" w:rsidRPr="00AF5E2E">
        <w:rPr>
          <w:rFonts w:ascii="Georgia" w:hAnsi="Georgia"/>
          <w:b w:val="0"/>
          <w:bCs w:val="0"/>
          <w:color w:val="FF0000"/>
          <w:sz w:val="28"/>
        </w:rPr>
        <w:t>Issue</w:t>
      </w:r>
      <w:r w:rsidRPr="00AF5E2E">
        <w:rPr>
          <w:rFonts w:ascii="Georgia" w:hAnsi="Georgia"/>
          <w:b w:val="0"/>
          <w:bCs w:val="0"/>
          <w:sz w:val="28"/>
        </w:rPr>
        <w:t>________ ?</w:t>
      </w:r>
    </w:p>
    <w:p w14:paraId="3950F92C" w14:textId="77777777" w:rsidR="00E055AA" w:rsidRDefault="00E055AA" w:rsidP="00261265">
      <w:pPr>
        <w:pStyle w:val="BodyText"/>
      </w:pPr>
    </w:p>
    <w:p w14:paraId="7273E76C" w14:textId="77777777" w:rsidR="00A830A7" w:rsidRDefault="00A830A7" w:rsidP="00A830A7">
      <w:pPr>
        <w:pStyle w:val="BodyText"/>
        <w:jc w:val="center"/>
      </w:pPr>
      <w:r>
        <w:t xml:space="preserve">White Paper Prepared by the Texas Groundwater Protection Committee (TGPC) Groundwater Issues </w:t>
      </w:r>
      <w:r w:rsidR="00204779">
        <w:t xml:space="preserve">(GWI) </w:t>
      </w:r>
      <w:r>
        <w:t>Subcommittee</w:t>
      </w:r>
    </w:p>
    <w:p w14:paraId="6381FD4A" w14:textId="77777777" w:rsidR="00A830A7" w:rsidRDefault="00A830A7" w:rsidP="00261265">
      <w:pPr>
        <w:pStyle w:val="BodyText"/>
      </w:pPr>
    </w:p>
    <w:p w14:paraId="0CDEDED2" w14:textId="77777777" w:rsidR="00E055AA" w:rsidRDefault="006E7973" w:rsidP="00261265">
      <w:pPr>
        <w:pStyle w:val="BodyText"/>
      </w:pPr>
      <w:r>
        <w:t>Date:</w:t>
      </w:r>
      <w:r>
        <w:tab/>
      </w:r>
      <w:r w:rsidRPr="006E7973">
        <w:rPr>
          <w:color w:val="FF0000"/>
        </w:rPr>
        <w:t>Month Date, Year</w:t>
      </w:r>
    </w:p>
    <w:p w14:paraId="5D16D715" w14:textId="77777777" w:rsidR="006E7973" w:rsidRDefault="006E7973" w:rsidP="00261265">
      <w:pPr>
        <w:pStyle w:val="BodyText"/>
      </w:pPr>
    </w:p>
    <w:p w14:paraId="504634B1" w14:textId="77777777" w:rsidR="006E7973" w:rsidRPr="00AF5E2E" w:rsidRDefault="00C21810" w:rsidP="00AF5E2E">
      <w:pPr>
        <w:pStyle w:val="Heading2"/>
        <w:rPr>
          <w:rFonts w:ascii="Georgia" w:hAnsi="Georgia"/>
          <w:b w:val="0"/>
          <w:bCs w:val="0"/>
          <w:i w:val="0"/>
          <w:iCs/>
          <w:sz w:val="24"/>
          <w:szCs w:val="24"/>
        </w:rPr>
      </w:pPr>
      <w:r w:rsidRPr="00AF5E2E">
        <w:rPr>
          <w:rFonts w:ascii="Georgia" w:hAnsi="Georgia"/>
          <w:b w:val="0"/>
          <w:bCs w:val="0"/>
          <w:i w:val="0"/>
          <w:iCs/>
          <w:sz w:val="24"/>
          <w:szCs w:val="24"/>
        </w:rPr>
        <w:t>Executive Summary</w:t>
      </w:r>
    </w:p>
    <w:p w14:paraId="30605201" w14:textId="77777777" w:rsidR="006E7973" w:rsidRDefault="006E7973" w:rsidP="00261265">
      <w:pPr>
        <w:pStyle w:val="BodyText"/>
      </w:pPr>
    </w:p>
    <w:p w14:paraId="7A36B2D2" w14:textId="77777777" w:rsidR="006E7973" w:rsidRPr="006E7973" w:rsidRDefault="006E7973" w:rsidP="00261265">
      <w:pPr>
        <w:pStyle w:val="BodyText"/>
        <w:rPr>
          <w:color w:val="FF0000"/>
        </w:rPr>
      </w:pPr>
      <w:proofErr w:type="spellStart"/>
      <w:r w:rsidRPr="006E7973">
        <w:rPr>
          <w:color w:val="FF0000"/>
        </w:rPr>
        <w:t>klkjkljslkklklk</w:t>
      </w:r>
      <w:proofErr w:type="spellEnd"/>
    </w:p>
    <w:p w14:paraId="1F7726EA" w14:textId="77777777" w:rsidR="006E7973" w:rsidRDefault="006E7973" w:rsidP="00261265">
      <w:pPr>
        <w:pStyle w:val="BodyText"/>
      </w:pPr>
    </w:p>
    <w:p w14:paraId="391CA5F7" w14:textId="77777777" w:rsidR="007B72E9" w:rsidRDefault="007B72E9">
      <w:pPr>
        <w:tabs>
          <w:tab w:val="clear" w:pos="720"/>
        </w:tabs>
      </w:pPr>
      <w:r>
        <w:br w:type="page"/>
      </w:r>
    </w:p>
    <w:p w14:paraId="1B17CF19" w14:textId="77777777" w:rsidR="00C21810" w:rsidRPr="00AF5E2E" w:rsidRDefault="00C21810" w:rsidP="00AF5E2E">
      <w:pPr>
        <w:pStyle w:val="Heading2"/>
        <w:rPr>
          <w:rFonts w:ascii="Georgia" w:hAnsi="Georgia"/>
          <w:b w:val="0"/>
          <w:bCs w:val="0"/>
          <w:i w:val="0"/>
          <w:iCs/>
          <w:sz w:val="24"/>
          <w:szCs w:val="24"/>
        </w:rPr>
      </w:pPr>
      <w:r w:rsidRPr="00AF5E2E">
        <w:rPr>
          <w:rFonts w:ascii="Georgia" w:hAnsi="Georgia"/>
          <w:b w:val="0"/>
          <w:bCs w:val="0"/>
          <w:i w:val="0"/>
          <w:iCs/>
          <w:sz w:val="24"/>
          <w:szCs w:val="24"/>
        </w:rPr>
        <w:lastRenderedPageBreak/>
        <w:t>Acronym List</w:t>
      </w:r>
    </w:p>
    <w:p w14:paraId="7B70A7CD" w14:textId="77777777" w:rsidR="00C21810" w:rsidRDefault="00C21810" w:rsidP="00261265">
      <w:pPr>
        <w:pStyle w:val="BodyText"/>
      </w:pPr>
    </w:p>
    <w:p w14:paraId="2BE26CBE" w14:textId="77777777" w:rsidR="00C21810" w:rsidRPr="006E7973" w:rsidRDefault="00C21810" w:rsidP="00C21810">
      <w:pPr>
        <w:pStyle w:val="BodyText"/>
        <w:rPr>
          <w:color w:val="FF0000"/>
        </w:rPr>
      </w:pPr>
      <w:proofErr w:type="spellStart"/>
      <w:r w:rsidRPr="006E7973">
        <w:rPr>
          <w:color w:val="FF0000"/>
        </w:rPr>
        <w:t>klkjkljslkklklk</w:t>
      </w:r>
      <w:proofErr w:type="spellEnd"/>
    </w:p>
    <w:p w14:paraId="287285DF" w14:textId="77777777" w:rsidR="00C21810" w:rsidRDefault="00C21810" w:rsidP="00261265">
      <w:pPr>
        <w:pStyle w:val="BodyText"/>
      </w:pPr>
    </w:p>
    <w:p w14:paraId="4C86957A" w14:textId="77777777" w:rsidR="00841CA7" w:rsidRDefault="00841CA7">
      <w:pPr>
        <w:tabs>
          <w:tab w:val="clear" w:pos="720"/>
        </w:tabs>
      </w:pPr>
      <w:r>
        <w:br w:type="page"/>
      </w:r>
    </w:p>
    <w:p w14:paraId="62213E83" w14:textId="77777777" w:rsidR="006E7973" w:rsidRPr="00AF5E2E" w:rsidRDefault="006E7973" w:rsidP="00AF5E2E">
      <w:pPr>
        <w:pStyle w:val="Heading2"/>
        <w:rPr>
          <w:rFonts w:ascii="Georgia" w:hAnsi="Georgia"/>
          <w:b w:val="0"/>
          <w:bCs w:val="0"/>
          <w:i w:val="0"/>
          <w:iCs/>
          <w:sz w:val="24"/>
          <w:szCs w:val="24"/>
        </w:rPr>
      </w:pPr>
      <w:r w:rsidRPr="00AF5E2E">
        <w:rPr>
          <w:rFonts w:ascii="Georgia" w:hAnsi="Georgia"/>
          <w:b w:val="0"/>
          <w:bCs w:val="0"/>
          <w:i w:val="0"/>
          <w:iCs/>
          <w:sz w:val="24"/>
          <w:szCs w:val="24"/>
        </w:rPr>
        <w:lastRenderedPageBreak/>
        <w:t>Introduction</w:t>
      </w:r>
    </w:p>
    <w:p w14:paraId="30681596" w14:textId="77777777" w:rsidR="006E7973" w:rsidRDefault="006E7973" w:rsidP="00261265">
      <w:pPr>
        <w:pStyle w:val="BodyText"/>
      </w:pPr>
    </w:p>
    <w:p w14:paraId="2410E7D9" w14:textId="77777777" w:rsidR="006E7973" w:rsidRPr="006E7973" w:rsidRDefault="006E7973" w:rsidP="006E7973">
      <w:pPr>
        <w:pStyle w:val="BodyText"/>
        <w:rPr>
          <w:color w:val="FF0000"/>
        </w:rPr>
      </w:pPr>
      <w:proofErr w:type="spellStart"/>
      <w:r w:rsidRPr="006E7973">
        <w:rPr>
          <w:color w:val="FF0000"/>
        </w:rPr>
        <w:t>klkjkljslkklklk</w:t>
      </w:r>
      <w:proofErr w:type="spellEnd"/>
    </w:p>
    <w:p w14:paraId="379B26D5" w14:textId="77777777" w:rsidR="006E7973" w:rsidRDefault="006E7973" w:rsidP="00261265">
      <w:pPr>
        <w:pStyle w:val="BodyText"/>
      </w:pPr>
    </w:p>
    <w:p w14:paraId="562D794B" w14:textId="77777777" w:rsidR="006E7973" w:rsidRPr="00AF5E2E" w:rsidRDefault="006E7973" w:rsidP="00AF5E2E">
      <w:pPr>
        <w:pStyle w:val="Heading2"/>
        <w:rPr>
          <w:rFonts w:ascii="Georgia" w:hAnsi="Georgia"/>
          <w:b w:val="0"/>
          <w:bCs w:val="0"/>
          <w:i w:val="0"/>
          <w:iCs/>
          <w:sz w:val="24"/>
          <w:szCs w:val="24"/>
        </w:rPr>
      </w:pPr>
      <w:r w:rsidRPr="00AF5E2E">
        <w:rPr>
          <w:rFonts w:ascii="Georgia" w:hAnsi="Georgia"/>
          <w:b w:val="0"/>
          <w:bCs w:val="0"/>
          <w:i w:val="0"/>
          <w:iCs/>
          <w:sz w:val="24"/>
          <w:szCs w:val="24"/>
        </w:rPr>
        <w:t>Full Issue Information and Discussion</w:t>
      </w:r>
    </w:p>
    <w:p w14:paraId="299309C4" w14:textId="77777777" w:rsidR="006E7973" w:rsidRDefault="006E7973" w:rsidP="00261265">
      <w:pPr>
        <w:pStyle w:val="BodyText"/>
      </w:pPr>
    </w:p>
    <w:p w14:paraId="08EA5DAD" w14:textId="77777777" w:rsidR="00D6673C" w:rsidRDefault="00D6673C" w:rsidP="00D6673C">
      <w:pPr>
        <w:pStyle w:val="BodyText"/>
        <w:rPr>
          <w:color w:val="FF0000"/>
        </w:rPr>
      </w:pPr>
      <w:proofErr w:type="spellStart"/>
      <w:r>
        <w:rPr>
          <w:color w:val="FF0000"/>
        </w:rPr>
        <w:t>klkjkljslkklklk</w:t>
      </w:r>
      <w:proofErr w:type="spellEnd"/>
    </w:p>
    <w:p w14:paraId="2218758A" w14:textId="77777777" w:rsidR="00D6673C" w:rsidRPr="006E7973" w:rsidRDefault="00D6673C" w:rsidP="00D6673C">
      <w:pPr>
        <w:pStyle w:val="BodyText"/>
        <w:rPr>
          <w:color w:val="FF0000"/>
        </w:rPr>
      </w:pPr>
      <w:r>
        <w:rPr>
          <w:color w:val="FF0000"/>
        </w:rPr>
        <w:t>status, trends, implications, etc.</w:t>
      </w:r>
    </w:p>
    <w:p w14:paraId="1F61F1BF" w14:textId="77777777" w:rsidR="00D6673C" w:rsidRDefault="00D6673C" w:rsidP="00261265">
      <w:pPr>
        <w:pStyle w:val="BodyText"/>
      </w:pPr>
    </w:p>
    <w:p w14:paraId="0B83F239" w14:textId="77777777" w:rsidR="006E7973" w:rsidRPr="00AF5E2E" w:rsidRDefault="00C21810" w:rsidP="00AF5E2E">
      <w:pPr>
        <w:pStyle w:val="Heading2"/>
        <w:rPr>
          <w:rFonts w:ascii="Georgia" w:hAnsi="Georgia"/>
          <w:b w:val="0"/>
          <w:bCs w:val="0"/>
          <w:i w:val="0"/>
          <w:iCs/>
          <w:sz w:val="24"/>
          <w:szCs w:val="24"/>
        </w:rPr>
      </w:pPr>
      <w:r w:rsidRPr="00AF5E2E">
        <w:rPr>
          <w:rFonts w:ascii="Georgia" w:hAnsi="Georgia"/>
          <w:b w:val="0"/>
          <w:bCs w:val="0"/>
          <w:i w:val="0"/>
          <w:iCs/>
          <w:sz w:val="24"/>
          <w:szCs w:val="24"/>
        </w:rPr>
        <w:t>Conclusion</w:t>
      </w:r>
    </w:p>
    <w:p w14:paraId="5FF03345" w14:textId="77777777" w:rsidR="006E7973" w:rsidRDefault="006E7973" w:rsidP="00261265">
      <w:pPr>
        <w:pStyle w:val="BodyText"/>
      </w:pPr>
    </w:p>
    <w:p w14:paraId="1CEBD19C" w14:textId="77777777" w:rsidR="006E7973" w:rsidRPr="006E7973" w:rsidRDefault="006E7973" w:rsidP="006E7973">
      <w:pPr>
        <w:pStyle w:val="BodyText"/>
        <w:rPr>
          <w:color w:val="FF0000"/>
        </w:rPr>
      </w:pPr>
      <w:proofErr w:type="spellStart"/>
      <w:r w:rsidRPr="006E7973">
        <w:rPr>
          <w:color w:val="FF0000"/>
        </w:rPr>
        <w:t>klkjkljslkklklk</w:t>
      </w:r>
      <w:proofErr w:type="spellEnd"/>
    </w:p>
    <w:p w14:paraId="1DD50499" w14:textId="77777777" w:rsidR="006E7973" w:rsidRDefault="006E7973" w:rsidP="00261265">
      <w:pPr>
        <w:pStyle w:val="BodyText"/>
      </w:pPr>
    </w:p>
    <w:p w14:paraId="101E1A88" w14:textId="77777777" w:rsidR="006E7973" w:rsidRPr="00AF5E2E" w:rsidRDefault="006E7973" w:rsidP="00AF5E2E">
      <w:pPr>
        <w:pStyle w:val="Heading2"/>
        <w:rPr>
          <w:rFonts w:ascii="Georgia" w:hAnsi="Georgia"/>
          <w:b w:val="0"/>
          <w:bCs w:val="0"/>
          <w:i w:val="0"/>
          <w:iCs/>
          <w:sz w:val="24"/>
          <w:szCs w:val="24"/>
        </w:rPr>
      </w:pPr>
      <w:r w:rsidRPr="00AF5E2E">
        <w:rPr>
          <w:rFonts w:ascii="Georgia" w:hAnsi="Georgia"/>
          <w:b w:val="0"/>
          <w:bCs w:val="0"/>
          <w:i w:val="0"/>
          <w:iCs/>
          <w:sz w:val="24"/>
          <w:szCs w:val="24"/>
        </w:rPr>
        <w:t>Continuing Research Need(s)</w:t>
      </w:r>
    </w:p>
    <w:p w14:paraId="6DEC88AE" w14:textId="77777777" w:rsidR="006E7973" w:rsidRDefault="006E7973" w:rsidP="00261265">
      <w:pPr>
        <w:pStyle w:val="BodyText"/>
      </w:pPr>
    </w:p>
    <w:p w14:paraId="26445AAC" w14:textId="77777777" w:rsidR="006E7973" w:rsidRPr="006E7973" w:rsidRDefault="006E7973" w:rsidP="006E7973">
      <w:pPr>
        <w:pStyle w:val="BodyText"/>
        <w:rPr>
          <w:color w:val="FF0000"/>
        </w:rPr>
      </w:pPr>
      <w:proofErr w:type="spellStart"/>
      <w:r w:rsidRPr="006E7973">
        <w:rPr>
          <w:color w:val="FF0000"/>
        </w:rPr>
        <w:t>klkjkljslkklklk</w:t>
      </w:r>
      <w:proofErr w:type="spellEnd"/>
    </w:p>
    <w:p w14:paraId="27573BD9" w14:textId="77777777" w:rsidR="006E7973" w:rsidRPr="00336C1E" w:rsidRDefault="00336C1E" w:rsidP="00261265">
      <w:pPr>
        <w:pStyle w:val="BodyText"/>
        <w:rPr>
          <w:color w:val="FF0000"/>
        </w:rPr>
      </w:pPr>
      <w:r w:rsidRPr="00336C1E">
        <w:rPr>
          <w:color w:val="FF0000"/>
        </w:rPr>
        <w:t>if applicable</w:t>
      </w:r>
    </w:p>
    <w:p w14:paraId="589FB29F" w14:textId="77777777" w:rsidR="00336C1E" w:rsidRDefault="00336C1E" w:rsidP="00261265">
      <w:pPr>
        <w:pStyle w:val="BodyText"/>
      </w:pPr>
    </w:p>
    <w:p w14:paraId="01945FD9" w14:textId="77777777" w:rsidR="006E7973" w:rsidRPr="00AF5E2E" w:rsidRDefault="006E7973" w:rsidP="00AF5E2E">
      <w:pPr>
        <w:pStyle w:val="Heading2"/>
        <w:rPr>
          <w:rFonts w:ascii="Georgia" w:hAnsi="Georgia"/>
          <w:b w:val="0"/>
          <w:bCs w:val="0"/>
          <w:i w:val="0"/>
          <w:iCs/>
          <w:sz w:val="24"/>
          <w:szCs w:val="24"/>
        </w:rPr>
      </w:pPr>
      <w:r w:rsidRPr="00AF5E2E">
        <w:rPr>
          <w:rFonts w:ascii="Georgia" w:hAnsi="Georgia"/>
          <w:b w:val="0"/>
          <w:bCs w:val="0"/>
          <w:i w:val="0"/>
          <w:iCs/>
          <w:sz w:val="24"/>
          <w:szCs w:val="24"/>
        </w:rPr>
        <w:t>Recommendation(s)</w:t>
      </w:r>
      <w:r w:rsidR="00465754" w:rsidRPr="00AF5E2E">
        <w:rPr>
          <w:rFonts w:ascii="Georgia" w:hAnsi="Georgia"/>
          <w:b w:val="0"/>
          <w:bCs w:val="0"/>
          <w:i w:val="0"/>
          <w:iCs/>
          <w:sz w:val="24"/>
          <w:szCs w:val="24"/>
        </w:rPr>
        <w:t xml:space="preserve"> or Policy Option(s)</w:t>
      </w:r>
    </w:p>
    <w:p w14:paraId="342DB264" w14:textId="77777777" w:rsidR="00631F19" w:rsidRDefault="00631F19" w:rsidP="00261265">
      <w:pPr>
        <w:pStyle w:val="BodyText"/>
      </w:pPr>
    </w:p>
    <w:p w14:paraId="582186C3" w14:textId="77777777" w:rsidR="00631F19" w:rsidRPr="006E7973" w:rsidRDefault="00631F19" w:rsidP="00631F19">
      <w:pPr>
        <w:pStyle w:val="BodyText"/>
        <w:rPr>
          <w:color w:val="FF0000"/>
        </w:rPr>
      </w:pPr>
      <w:proofErr w:type="spellStart"/>
      <w:r w:rsidRPr="006E7973">
        <w:rPr>
          <w:color w:val="FF0000"/>
        </w:rPr>
        <w:t>klkjkljslkklklk</w:t>
      </w:r>
      <w:proofErr w:type="spellEnd"/>
    </w:p>
    <w:p w14:paraId="193BC36B" w14:textId="77777777" w:rsidR="00181EDE" w:rsidRDefault="00336C1E" w:rsidP="00261265">
      <w:pPr>
        <w:pStyle w:val="BodyText"/>
        <w:rPr>
          <w:color w:val="FF0000"/>
        </w:rPr>
      </w:pPr>
      <w:r w:rsidRPr="00336C1E">
        <w:rPr>
          <w:color w:val="FF0000"/>
        </w:rPr>
        <w:t>recommendation(s) if there is consensus on the issue</w:t>
      </w:r>
    </w:p>
    <w:p w14:paraId="24C49020" w14:textId="77777777" w:rsidR="00631F19" w:rsidRPr="00336C1E" w:rsidRDefault="00336C1E" w:rsidP="00261265">
      <w:pPr>
        <w:pStyle w:val="BodyText"/>
        <w:rPr>
          <w:color w:val="FF0000"/>
        </w:rPr>
      </w:pPr>
      <w:r w:rsidRPr="00336C1E">
        <w:rPr>
          <w:color w:val="FF0000"/>
        </w:rPr>
        <w:t>policy option(s)</w:t>
      </w:r>
      <w:r w:rsidR="00416787">
        <w:rPr>
          <w:color w:val="FF0000"/>
        </w:rPr>
        <w:t>, including the pros and cons for each option,</w:t>
      </w:r>
      <w:r w:rsidRPr="00336C1E">
        <w:rPr>
          <w:color w:val="FF0000"/>
        </w:rPr>
        <w:t xml:space="preserve"> if there isn’t consensus</w:t>
      </w:r>
      <w:r w:rsidR="00181EDE">
        <w:rPr>
          <w:color w:val="FF0000"/>
        </w:rPr>
        <w:t xml:space="preserve"> on the issue</w:t>
      </w:r>
    </w:p>
    <w:p w14:paraId="23D9F491" w14:textId="37783E0F" w:rsidR="00465F58" w:rsidRDefault="00465F58" w:rsidP="00261265">
      <w:pPr>
        <w:pStyle w:val="BodyText"/>
      </w:pPr>
    </w:p>
    <w:p w14:paraId="1AF18EF5" w14:textId="089E14CE" w:rsidR="00AF5E2E" w:rsidRPr="00AF5E2E" w:rsidRDefault="00AF5E2E" w:rsidP="00AF5E2E">
      <w:pPr>
        <w:pStyle w:val="Heading2"/>
        <w:rPr>
          <w:rFonts w:ascii="Georgia" w:hAnsi="Georgia"/>
          <w:b w:val="0"/>
          <w:bCs w:val="0"/>
          <w:i w:val="0"/>
          <w:iCs/>
          <w:sz w:val="24"/>
          <w:szCs w:val="24"/>
        </w:rPr>
      </w:pPr>
      <w:r w:rsidRPr="00AF5E2E">
        <w:rPr>
          <w:rFonts w:ascii="Georgia" w:hAnsi="Georgia"/>
          <w:b w:val="0"/>
          <w:bCs w:val="0"/>
          <w:i w:val="0"/>
          <w:iCs/>
          <w:sz w:val="24"/>
          <w:szCs w:val="24"/>
        </w:rPr>
        <w:t>TGPC GWI Subcommittee</w:t>
      </w:r>
    </w:p>
    <w:p w14:paraId="426413D0" w14:textId="77777777" w:rsidR="00AF5E2E" w:rsidRDefault="00AF5E2E" w:rsidP="00261265">
      <w:pPr>
        <w:pStyle w:val="BodyText"/>
      </w:pPr>
    </w:p>
    <w:p w14:paraId="7B882973" w14:textId="77777777" w:rsidR="008E4F87" w:rsidRDefault="008E4F87" w:rsidP="008E4F87">
      <w:pPr>
        <w:pStyle w:val="BodyText"/>
      </w:pPr>
      <w:r>
        <w:t>TGPC GWI Subcommittee members include, but are not limited to:</w:t>
      </w:r>
    </w:p>
    <w:p w14:paraId="31AB2B9F" w14:textId="77777777" w:rsidR="008E4F87" w:rsidRDefault="008E4F87" w:rsidP="008E4F87">
      <w:pPr>
        <w:pStyle w:val="BodyText"/>
        <w:numPr>
          <w:ilvl w:val="0"/>
          <w:numId w:val="15"/>
        </w:numPr>
      </w:pPr>
      <w:r>
        <w:t>Texas Commission of Environmental Quality (TCEQ);</w:t>
      </w:r>
    </w:p>
    <w:p w14:paraId="0EB53C92" w14:textId="77777777" w:rsidR="008E4F87" w:rsidRDefault="008E4F87" w:rsidP="008E4F87">
      <w:pPr>
        <w:pStyle w:val="BodyText"/>
        <w:numPr>
          <w:ilvl w:val="0"/>
          <w:numId w:val="15"/>
        </w:numPr>
      </w:pPr>
      <w:r>
        <w:t>Texas Water Development Board (TWDB);</w:t>
      </w:r>
    </w:p>
    <w:p w14:paraId="59E15D4B" w14:textId="77777777" w:rsidR="008E4F87" w:rsidRDefault="008E4F87" w:rsidP="008E4F87">
      <w:pPr>
        <w:pStyle w:val="BodyText"/>
        <w:numPr>
          <w:ilvl w:val="0"/>
          <w:numId w:val="15"/>
        </w:numPr>
      </w:pPr>
      <w:r>
        <w:t>Railroad Commission of Texas (RRC);</w:t>
      </w:r>
    </w:p>
    <w:p w14:paraId="35C4DF30" w14:textId="77777777" w:rsidR="008E4F87" w:rsidRDefault="008E4F87" w:rsidP="008E4F87">
      <w:pPr>
        <w:pStyle w:val="BodyText"/>
        <w:numPr>
          <w:ilvl w:val="0"/>
          <w:numId w:val="15"/>
        </w:numPr>
      </w:pPr>
      <w:r>
        <w:t>Texas Department of State Health Services (DSHS);</w:t>
      </w:r>
    </w:p>
    <w:p w14:paraId="5CB2FF37" w14:textId="77777777" w:rsidR="008E4F87" w:rsidRDefault="008E4F87" w:rsidP="008E4F87">
      <w:pPr>
        <w:pStyle w:val="BodyText"/>
        <w:numPr>
          <w:ilvl w:val="0"/>
          <w:numId w:val="15"/>
        </w:numPr>
      </w:pPr>
      <w:r>
        <w:lastRenderedPageBreak/>
        <w:t>Texas Department of Agriculture (TDA);</w:t>
      </w:r>
    </w:p>
    <w:p w14:paraId="59F5C575" w14:textId="77777777" w:rsidR="008E4F87" w:rsidRDefault="008E4F87" w:rsidP="008E4F87">
      <w:pPr>
        <w:pStyle w:val="BodyText"/>
        <w:numPr>
          <w:ilvl w:val="0"/>
          <w:numId w:val="15"/>
        </w:numPr>
      </w:pPr>
      <w:r>
        <w:t>Texas State Soil and Water Conservation Board (TSSWCB);</w:t>
      </w:r>
    </w:p>
    <w:p w14:paraId="44A50999" w14:textId="77777777" w:rsidR="008E4F87" w:rsidRDefault="008E4F87" w:rsidP="008E4F87">
      <w:pPr>
        <w:pStyle w:val="BodyText"/>
        <w:numPr>
          <w:ilvl w:val="0"/>
          <w:numId w:val="15"/>
        </w:numPr>
      </w:pPr>
      <w:r>
        <w:t>Texas Alliance of Groundwater Districts (TAGD);</w:t>
      </w:r>
    </w:p>
    <w:p w14:paraId="0A6E023C" w14:textId="77777777" w:rsidR="008E4F87" w:rsidRDefault="008E4F87" w:rsidP="008E4F87">
      <w:pPr>
        <w:pStyle w:val="BodyText"/>
        <w:numPr>
          <w:ilvl w:val="0"/>
          <w:numId w:val="15"/>
        </w:numPr>
      </w:pPr>
      <w:r>
        <w:t>Texas A&amp;M AgriLife Research (AgriLife Research);</w:t>
      </w:r>
    </w:p>
    <w:p w14:paraId="39586E7F" w14:textId="77777777" w:rsidR="008E4F87" w:rsidRDefault="008E4F87" w:rsidP="008E4F87">
      <w:pPr>
        <w:pStyle w:val="BodyText"/>
        <w:numPr>
          <w:ilvl w:val="0"/>
          <w:numId w:val="15"/>
        </w:numPr>
      </w:pPr>
      <w:r>
        <w:t>Bureau of Economic Geology of The University of Texas at Austin (UTBEG);</w:t>
      </w:r>
    </w:p>
    <w:p w14:paraId="1093C88B" w14:textId="77777777" w:rsidR="008E4F87" w:rsidRDefault="008E4F87" w:rsidP="008E4F87">
      <w:pPr>
        <w:pStyle w:val="BodyText"/>
        <w:numPr>
          <w:ilvl w:val="0"/>
          <w:numId w:val="15"/>
        </w:numPr>
      </w:pPr>
      <w:r>
        <w:t>Texas Department of Licensing and Regulation (TDLR);</w:t>
      </w:r>
    </w:p>
    <w:p w14:paraId="10813E23" w14:textId="77777777" w:rsidR="008E4F87" w:rsidRDefault="008E4F87" w:rsidP="008E4F87">
      <w:pPr>
        <w:pStyle w:val="BodyText"/>
        <w:numPr>
          <w:ilvl w:val="0"/>
          <w:numId w:val="15"/>
        </w:numPr>
      </w:pPr>
      <w:r>
        <w:t>Texas Parks and Wildlife Department (TPWD);</w:t>
      </w:r>
    </w:p>
    <w:p w14:paraId="49397CB0" w14:textId="77777777" w:rsidR="008E4F87" w:rsidRDefault="008E4F87" w:rsidP="008E4F87">
      <w:pPr>
        <w:pStyle w:val="BodyText"/>
        <w:numPr>
          <w:ilvl w:val="0"/>
          <w:numId w:val="15"/>
        </w:numPr>
      </w:pPr>
      <w:r>
        <w:t>Texas Tech University (TTU);</w:t>
      </w:r>
    </w:p>
    <w:p w14:paraId="3D7139B7" w14:textId="77777777" w:rsidR="008E4F87" w:rsidRDefault="008E4F87" w:rsidP="008E4F87">
      <w:pPr>
        <w:pStyle w:val="BodyText"/>
        <w:numPr>
          <w:ilvl w:val="0"/>
          <w:numId w:val="15"/>
        </w:numPr>
      </w:pPr>
      <w:r>
        <w:t>Texas A&amp;M AgriLife Extension Service (AgriLife Extension); and,</w:t>
      </w:r>
    </w:p>
    <w:p w14:paraId="3BBFE9C9" w14:textId="77777777" w:rsidR="008E4F87" w:rsidRDefault="008E4F87" w:rsidP="008E4F87">
      <w:pPr>
        <w:pStyle w:val="BodyText"/>
        <w:numPr>
          <w:ilvl w:val="0"/>
          <w:numId w:val="15"/>
        </w:numPr>
      </w:pPr>
      <w:r>
        <w:t>United States Geological Survey (USGS).</w:t>
      </w:r>
    </w:p>
    <w:p w14:paraId="4C78A8B9" w14:textId="77777777" w:rsidR="008E4F87" w:rsidRDefault="008E4F87" w:rsidP="008E4F87">
      <w:pPr>
        <w:pStyle w:val="BodyText"/>
      </w:pPr>
    </w:p>
    <w:p w14:paraId="4BED9FD7" w14:textId="77777777" w:rsidR="008E4F87" w:rsidRPr="00D6673C" w:rsidRDefault="008E4F87" w:rsidP="008E4F87">
      <w:pPr>
        <w:pStyle w:val="BodyText"/>
      </w:pPr>
      <w:r w:rsidRPr="00D6673C">
        <w:t xml:space="preserve">The primary goals of the </w:t>
      </w:r>
      <w:r>
        <w:t xml:space="preserve">TGPC GWI </w:t>
      </w:r>
      <w:r w:rsidRPr="00D6673C">
        <w:t>Subcommittee are to:</w:t>
      </w:r>
    </w:p>
    <w:p w14:paraId="7619E4C0" w14:textId="77777777" w:rsidR="008E4F87" w:rsidRPr="00D6673C" w:rsidRDefault="008E4F87" w:rsidP="008E4F87">
      <w:pPr>
        <w:pStyle w:val="BodyText"/>
        <w:numPr>
          <w:ilvl w:val="0"/>
          <w:numId w:val="16"/>
        </w:numPr>
      </w:pPr>
      <w:r w:rsidRPr="00D6673C">
        <w:t>Facilitate interagency communication for assessment programs addressing groundwater contamination;</w:t>
      </w:r>
    </w:p>
    <w:p w14:paraId="5A699E4C" w14:textId="77777777" w:rsidR="008E4F87" w:rsidRPr="00D6673C" w:rsidRDefault="008E4F87" w:rsidP="008E4F87">
      <w:pPr>
        <w:pStyle w:val="BodyText"/>
        <w:numPr>
          <w:ilvl w:val="0"/>
          <w:numId w:val="16"/>
        </w:numPr>
      </w:pPr>
      <w:r w:rsidRPr="00D6673C">
        <w:t>Coordinate and assist member agencies with monitoring programs for:</w:t>
      </w:r>
    </w:p>
    <w:p w14:paraId="20EAAFE4" w14:textId="77777777" w:rsidR="008E4F87" w:rsidRPr="00D6673C" w:rsidRDefault="008E4F87" w:rsidP="008E4F87">
      <w:pPr>
        <w:pStyle w:val="BodyText"/>
        <w:numPr>
          <w:ilvl w:val="1"/>
          <w:numId w:val="16"/>
        </w:numPr>
        <w:tabs>
          <w:tab w:val="clear" w:pos="1440"/>
        </w:tabs>
        <w:ind w:left="720"/>
      </w:pPr>
      <w:r w:rsidRPr="00D6673C">
        <w:t>Ambient groundwater conditions;</w:t>
      </w:r>
    </w:p>
    <w:p w14:paraId="666A6EFB" w14:textId="77777777" w:rsidR="008E4F87" w:rsidRPr="00D6673C" w:rsidRDefault="008E4F87" w:rsidP="008E4F87">
      <w:pPr>
        <w:pStyle w:val="BodyText"/>
        <w:numPr>
          <w:ilvl w:val="1"/>
          <w:numId w:val="16"/>
        </w:numPr>
        <w:tabs>
          <w:tab w:val="clear" w:pos="1440"/>
        </w:tabs>
        <w:ind w:left="720"/>
      </w:pPr>
      <w:r w:rsidRPr="00D6673C">
        <w:t>Pesticides; and,</w:t>
      </w:r>
    </w:p>
    <w:p w14:paraId="1C307305" w14:textId="77777777" w:rsidR="008E4F87" w:rsidRPr="00D6673C" w:rsidRDefault="008E4F87" w:rsidP="008E4F87">
      <w:pPr>
        <w:pStyle w:val="BodyText"/>
        <w:numPr>
          <w:ilvl w:val="1"/>
          <w:numId w:val="16"/>
        </w:numPr>
        <w:tabs>
          <w:tab w:val="clear" w:pos="1440"/>
        </w:tabs>
        <w:ind w:left="720"/>
      </w:pPr>
      <w:r w:rsidRPr="00D6673C">
        <w:t>Emerging contaminants or constituents of concern;</w:t>
      </w:r>
    </w:p>
    <w:p w14:paraId="09B94682" w14:textId="66B233E2" w:rsidR="009B26B8" w:rsidRPr="00C123D4" w:rsidRDefault="009B26B8" w:rsidP="009B26B8">
      <w:pPr>
        <w:numPr>
          <w:ilvl w:val="0"/>
          <w:numId w:val="16"/>
        </w:numPr>
        <w:tabs>
          <w:tab w:val="clear" w:pos="720"/>
        </w:tabs>
        <w:spacing w:before="0" w:after="0"/>
      </w:pPr>
      <w:r w:rsidRPr="00C123D4">
        <w:t xml:space="preserve">Support the intent of the </w:t>
      </w:r>
      <w:r w:rsidRPr="00C123D4">
        <w:rPr>
          <w:i/>
        </w:rPr>
        <w:t>Texas Groundwater Protection Strategy</w:t>
      </w:r>
      <w:r w:rsidRPr="00C123D4">
        <w:t xml:space="preserve"> (</w:t>
      </w:r>
      <w:hyperlink r:id="rId8" w:history="1">
        <w:r w:rsidR="00AF5E2E" w:rsidRPr="003E06A7">
          <w:rPr>
            <w:rStyle w:val="Hyperlink"/>
          </w:rPr>
          <w:t>https://www.tceq.texas.gov/downloads/groundwater/publications/as-188-texas-groundwater-protection-strategy.pdf</w:t>
        </w:r>
      </w:hyperlink>
      <w:r w:rsidR="00AF5E2E">
        <w:t>)</w:t>
      </w:r>
      <w:r w:rsidRPr="00C123D4">
        <w:t xml:space="preserve"> by:</w:t>
      </w:r>
    </w:p>
    <w:p w14:paraId="23D2ABD7" w14:textId="77777777" w:rsidR="009B26B8" w:rsidRPr="00C123D4" w:rsidRDefault="009B26B8" w:rsidP="009B26B8">
      <w:pPr>
        <w:numPr>
          <w:ilvl w:val="1"/>
          <w:numId w:val="16"/>
        </w:numPr>
        <w:tabs>
          <w:tab w:val="clear" w:pos="1440"/>
          <w:tab w:val="num" w:pos="720"/>
        </w:tabs>
        <w:spacing w:before="0" w:after="0"/>
        <w:ind w:left="720"/>
      </w:pPr>
      <w:r w:rsidRPr="00C123D4">
        <w:t>Reviewing published data reports, and evaluating data independent of published reports, to assist in the determination of the effectiveness of existing regulatory programs and to identify potential groundwater contaminants not addressed by existing regulatory programs;</w:t>
      </w:r>
    </w:p>
    <w:p w14:paraId="64171CF0" w14:textId="77777777" w:rsidR="009B26B8" w:rsidRDefault="009B26B8" w:rsidP="009B26B8">
      <w:pPr>
        <w:numPr>
          <w:ilvl w:val="1"/>
          <w:numId w:val="16"/>
        </w:numPr>
        <w:tabs>
          <w:tab w:val="clear" w:pos="1440"/>
          <w:tab w:val="num" w:pos="720"/>
        </w:tabs>
        <w:spacing w:before="0" w:after="0"/>
        <w:ind w:left="720"/>
      </w:pPr>
      <w:r w:rsidRPr="00C123D4">
        <w:t>Developing recommendations for consideration by the TGPC to address potential groundwater contamination identified through monitoring and data review; and,</w:t>
      </w:r>
    </w:p>
    <w:p w14:paraId="65BE081D" w14:textId="77777777" w:rsidR="008E4F87" w:rsidRDefault="009B26B8" w:rsidP="009B26B8">
      <w:pPr>
        <w:numPr>
          <w:ilvl w:val="1"/>
          <w:numId w:val="16"/>
        </w:numPr>
        <w:tabs>
          <w:tab w:val="clear" w:pos="1440"/>
          <w:tab w:val="num" w:pos="720"/>
        </w:tabs>
        <w:spacing w:before="0" w:after="0"/>
        <w:ind w:left="720"/>
      </w:pPr>
      <w:r w:rsidRPr="00C123D4">
        <w:t xml:space="preserve">Developing white papers on the groundwater issues listed in their biannual </w:t>
      </w:r>
      <w:r w:rsidRPr="009B26B8">
        <w:rPr>
          <w:i/>
        </w:rPr>
        <w:t>Activity Plan</w:t>
      </w:r>
      <w:r w:rsidRPr="00C123D4">
        <w:t xml:space="preserve"> which summarize the best available scientific data on a specific groundwater issue, identify areas where there is insufficient scientific data to thoroughly assess the issue, evaluate the effectiveness of existing regulatory programs to address the issue, and provide recommendations or policy options to the TGPC regarding the issue.</w:t>
      </w:r>
    </w:p>
    <w:p w14:paraId="464A3413" w14:textId="77777777" w:rsidR="008E4F87" w:rsidRDefault="008E4F87" w:rsidP="00261265">
      <w:pPr>
        <w:pStyle w:val="BodyText"/>
      </w:pPr>
    </w:p>
    <w:p w14:paraId="27BC9A31" w14:textId="77777777" w:rsidR="00336C1E" w:rsidRDefault="00336C1E" w:rsidP="00261265">
      <w:pPr>
        <w:pStyle w:val="BodyText"/>
      </w:pPr>
      <w:r>
        <w:t xml:space="preserve">The above </w:t>
      </w:r>
      <w:r w:rsidRPr="00336C1E">
        <w:t xml:space="preserve">recommendations </w:t>
      </w:r>
      <w:r>
        <w:t xml:space="preserve">or policy options </w:t>
      </w:r>
      <w:r w:rsidRPr="00336C1E">
        <w:t xml:space="preserve">represent the opinion of the </w:t>
      </w:r>
      <w:r>
        <w:t>TGPC GWI Subcommittee and</w:t>
      </w:r>
      <w:r w:rsidRPr="00336C1E">
        <w:t xml:space="preserve"> do not necessarily reflect the views and policies of each participating organization.</w:t>
      </w:r>
      <w:r w:rsidR="002F5521">
        <w:t xml:space="preserve">  The United States Geological Survey (USGS) may have contributed scientific information, only.</w:t>
      </w:r>
    </w:p>
    <w:p w14:paraId="097402C0" w14:textId="77777777" w:rsidR="00465F58" w:rsidRDefault="00465F58" w:rsidP="00261265">
      <w:pPr>
        <w:pStyle w:val="BodyText"/>
      </w:pPr>
    </w:p>
    <w:p w14:paraId="429A3506" w14:textId="44562FBA" w:rsidR="00465F58" w:rsidRDefault="00465F58" w:rsidP="00261265">
      <w:pPr>
        <w:pStyle w:val="BodyText"/>
      </w:pPr>
      <w:r>
        <w:t>For more information about this white pap</w:t>
      </w:r>
      <w:r w:rsidR="00144C89">
        <w:t xml:space="preserve">er, please contact </w:t>
      </w:r>
      <w:r>
        <w:t>the TGPC (</w:t>
      </w:r>
      <w:hyperlink r:id="rId9" w:history="1">
        <w:r w:rsidR="008E4F87">
          <w:rPr>
            <w:rStyle w:val="Hyperlink"/>
          </w:rPr>
          <w:t>https://tgpc.texas.gov/contact-us/</w:t>
        </w:r>
      </w:hyperlink>
      <w:r>
        <w:t>).</w:t>
      </w:r>
    </w:p>
    <w:p w14:paraId="3971C01F" w14:textId="77777777" w:rsidR="00AF5E2E" w:rsidRDefault="00AF5E2E" w:rsidP="00261265">
      <w:pPr>
        <w:pStyle w:val="BodyText"/>
      </w:pPr>
    </w:p>
    <w:p w14:paraId="299884CA" w14:textId="5E52BA3F" w:rsidR="00D03B4E" w:rsidRPr="00AF5E2E" w:rsidRDefault="00E4290D" w:rsidP="00AF5E2E">
      <w:pPr>
        <w:pStyle w:val="Heading2"/>
        <w:rPr>
          <w:rFonts w:ascii="Georgia" w:hAnsi="Georgia"/>
          <w:b w:val="0"/>
          <w:bCs w:val="0"/>
          <w:i w:val="0"/>
          <w:iCs/>
          <w:sz w:val="24"/>
          <w:szCs w:val="24"/>
        </w:rPr>
      </w:pPr>
      <w:r w:rsidRPr="00AF5E2E">
        <w:rPr>
          <w:rFonts w:ascii="Georgia" w:hAnsi="Georgia"/>
          <w:b w:val="0"/>
          <w:bCs w:val="0"/>
          <w:i w:val="0"/>
          <w:iCs/>
          <w:sz w:val="24"/>
          <w:szCs w:val="24"/>
        </w:rPr>
        <w:t xml:space="preserve">Subject Matter </w:t>
      </w:r>
      <w:r w:rsidR="008F0061" w:rsidRPr="00AF5E2E">
        <w:rPr>
          <w:rFonts w:ascii="Georgia" w:hAnsi="Georgia"/>
          <w:b w:val="0"/>
          <w:bCs w:val="0"/>
          <w:i w:val="0"/>
          <w:iCs/>
          <w:sz w:val="24"/>
          <w:szCs w:val="24"/>
        </w:rPr>
        <w:t>Expert</w:t>
      </w:r>
      <w:r w:rsidR="00D03B4E" w:rsidRPr="00AF5E2E">
        <w:rPr>
          <w:rFonts w:ascii="Georgia" w:hAnsi="Georgia"/>
          <w:b w:val="0"/>
          <w:bCs w:val="0"/>
          <w:i w:val="0"/>
          <w:iCs/>
          <w:sz w:val="24"/>
          <w:szCs w:val="24"/>
        </w:rPr>
        <w:t>s</w:t>
      </w:r>
    </w:p>
    <w:p w14:paraId="26BFE066" w14:textId="77777777" w:rsidR="00AF5E2E" w:rsidRDefault="00AF5E2E" w:rsidP="00261265">
      <w:pPr>
        <w:pStyle w:val="BodyText"/>
      </w:pPr>
    </w:p>
    <w:p w14:paraId="5B2B1099" w14:textId="77777777" w:rsidR="00D03B4E" w:rsidRPr="00631F19" w:rsidRDefault="00D03B4E" w:rsidP="00D03B4E">
      <w:pPr>
        <w:pStyle w:val="BodyText"/>
        <w:numPr>
          <w:ilvl w:val="0"/>
          <w:numId w:val="14"/>
        </w:numPr>
        <w:rPr>
          <w:color w:val="FF0000"/>
        </w:rPr>
      </w:pPr>
      <w:r>
        <w:rPr>
          <w:color w:val="FF0000"/>
        </w:rPr>
        <w:t>Contact</w:t>
      </w:r>
      <w:r w:rsidRPr="00631F19">
        <w:rPr>
          <w:color w:val="FF0000"/>
        </w:rPr>
        <w:t xml:space="preserve"> 1</w:t>
      </w:r>
      <w:r>
        <w:rPr>
          <w:color w:val="FF0000"/>
        </w:rPr>
        <w:t xml:space="preserve"> Name (Affiliation, email address, phone number)</w:t>
      </w:r>
    </w:p>
    <w:p w14:paraId="1E28A7E8" w14:textId="77777777" w:rsidR="00D03B4E" w:rsidRPr="00631F19" w:rsidRDefault="00D03B4E" w:rsidP="00D03B4E">
      <w:pPr>
        <w:pStyle w:val="BodyText"/>
        <w:numPr>
          <w:ilvl w:val="0"/>
          <w:numId w:val="14"/>
        </w:numPr>
        <w:rPr>
          <w:color w:val="FF0000"/>
        </w:rPr>
      </w:pPr>
      <w:r>
        <w:rPr>
          <w:color w:val="FF0000"/>
        </w:rPr>
        <w:t>Contact</w:t>
      </w:r>
      <w:r w:rsidRPr="00631F19">
        <w:rPr>
          <w:color w:val="FF0000"/>
        </w:rPr>
        <w:t xml:space="preserve"> 2</w:t>
      </w:r>
      <w:r>
        <w:rPr>
          <w:color w:val="FF0000"/>
        </w:rPr>
        <w:t xml:space="preserve"> Name (Affiliation, email address, phone number)</w:t>
      </w:r>
    </w:p>
    <w:p w14:paraId="18BE3F75" w14:textId="77777777" w:rsidR="00D03B4E" w:rsidRPr="00631F19" w:rsidRDefault="00D03B4E" w:rsidP="00D03B4E">
      <w:pPr>
        <w:pStyle w:val="BodyText"/>
        <w:numPr>
          <w:ilvl w:val="0"/>
          <w:numId w:val="14"/>
        </w:numPr>
        <w:rPr>
          <w:color w:val="FF0000"/>
        </w:rPr>
      </w:pPr>
      <w:r>
        <w:rPr>
          <w:color w:val="FF0000"/>
        </w:rPr>
        <w:t>Contact</w:t>
      </w:r>
      <w:r w:rsidRPr="00631F19">
        <w:rPr>
          <w:color w:val="FF0000"/>
        </w:rPr>
        <w:t xml:space="preserve"> 3</w:t>
      </w:r>
      <w:r>
        <w:rPr>
          <w:color w:val="FF0000"/>
        </w:rPr>
        <w:t xml:space="preserve"> Name (Affiliation, email address, phone number)</w:t>
      </w:r>
    </w:p>
    <w:p w14:paraId="55952C9E" w14:textId="77777777" w:rsidR="00D03B4E" w:rsidRPr="006849E3" w:rsidRDefault="00D03B4E" w:rsidP="00D03B4E">
      <w:pPr>
        <w:pStyle w:val="BodyText"/>
        <w:numPr>
          <w:ilvl w:val="0"/>
          <w:numId w:val="14"/>
        </w:numPr>
        <w:rPr>
          <w:color w:val="FF0000"/>
        </w:rPr>
      </w:pPr>
      <w:r w:rsidRPr="006849E3">
        <w:rPr>
          <w:color w:val="FF0000"/>
        </w:rPr>
        <w:t>Etc.</w:t>
      </w:r>
    </w:p>
    <w:p w14:paraId="56DD7D51" w14:textId="77777777" w:rsidR="00D03B4E" w:rsidRDefault="00D03B4E" w:rsidP="00261265">
      <w:pPr>
        <w:pStyle w:val="BodyText"/>
      </w:pPr>
    </w:p>
    <w:p w14:paraId="0A1D770D" w14:textId="651D6A6D" w:rsidR="00631F19" w:rsidRPr="00AF5E2E" w:rsidRDefault="00631F19" w:rsidP="00AF5E2E">
      <w:pPr>
        <w:pStyle w:val="Heading2"/>
        <w:rPr>
          <w:rFonts w:ascii="Georgia" w:hAnsi="Georgia"/>
          <w:b w:val="0"/>
          <w:bCs w:val="0"/>
          <w:i w:val="0"/>
          <w:iCs/>
          <w:sz w:val="24"/>
          <w:szCs w:val="24"/>
        </w:rPr>
      </w:pPr>
      <w:r w:rsidRPr="00AF5E2E">
        <w:rPr>
          <w:rFonts w:ascii="Georgia" w:hAnsi="Georgia"/>
          <w:b w:val="0"/>
          <w:bCs w:val="0"/>
          <w:i w:val="0"/>
          <w:iCs/>
          <w:sz w:val="24"/>
          <w:szCs w:val="24"/>
        </w:rPr>
        <w:t>References</w:t>
      </w:r>
    </w:p>
    <w:p w14:paraId="3488B8C8" w14:textId="77777777" w:rsidR="00AF5E2E" w:rsidRDefault="00AF5E2E" w:rsidP="00261265">
      <w:pPr>
        <w:pStyle w:val="BodyText"/>
      </w:pPr>
    </w:p>
    <w:p w14:paraId="276CF368" w14:textId="77777777" w:rsidR="00631F19" w:rsidRPr="00631F19" w:rsidRDefault="00631F19" w:rsidP="007B72E9">
      <w:pPr>
        <w:pStyle w:val="BodyText"/>
        <w:numPr>
          <w:ilvl w:val="0"/>
          <w:numId w:val="14"/>
        </w:numPr>
        <w:rPr>
          <w:color w:val="FF0000"/>
        </w:rPr>
      </w:pPr>
      <w:r w:rsidRPr="00631F19">
        <w:rPr>
          <w:color w:val="FF0000"/>
        </w:rPr>
        <w:t>Reference 1</w:t>
      </w:r>
    </w:p>
    <w:p w14:paraId="19C2B3C7" w14:textId="77777777" w:rsidR="00631F19" w:rsidRPr="00631F19" w:rsidRDefault="00631F19" w:rsidP="007B72E9">
      <w:pPr>
        <w:pStyle w:val="BodyText"/>
        <w:numPr>
          <w:ilvl w:val="0"/>
          <w:numId w:val="14"/>
        </w:numPr>
        <w:rPr>
          <w:color w:val="FF0000"/>
        </w:rPr>
      </w:pPr>
      <w:r w:rsidRPr="00631F19">
        <w:rPr>
          <w:color w:val="FF0000"/>
        </w:rPr>
        <w:t>Reference 2</w:t>
      </w:r>
    </w:p>
    <w:p w14:paraId="5D778859" w14:textId="77777777" w:rsidR="00631F19" w:rsidRPr="00631F19" w:rsidRDefault="00631F19" w:rsidP="007B72E9">
      <w:pPr>
        <w:pStyle w:val="BodyText"/>
        <w:numPr>
          <w:ilvl w:val="0"/>
          <w:numId w:val="14"/>
        </w:numPr>
        <w:rPr>
          <w:color w:val="FF0000"/>
        </w:rPr>
      </w:pPr>
      <w:r w:rsidRPr="00631F19">
        <w:rPr>
          <w:color w:val="FF0000"/>
        </w:rPr>
        <w:t>Reference 3</w:t>
      </w:r>
    </w:p>
    <w:p w14:paraId="4DB69ADE" w14:textId="77777777" w:rsidR="00631F19" w:rsidRPr="006849E3" w:rsidRDefault="00631F19" w:rsidP="007B72E9">
      <w:pPr>
        <w:pStyle w:val="BodyText"/>
        <w:numPr>
          <w:ilvl w:val="0"/>
          <w:numId w:val="14"/>
        </w:numPr>
        <w:rPr>
          <w:color w:val="FF0000"/>
        </w:rPr>
      </w:pPr>
      <w:r w:rsidRPr="006849E3">
        <w:rPr>
          <w:color w:val="FF0000"/>
        </w:rPr>
        <w:t>Etc.</w:t>
      </w:r>
    </w:p>
    <w:p w14:paraId="71601CFF" w14:textId="77777777" w:rsidR="00E055AA" w:rsidRDefault="00E055AA" w:rsidP="00261265">
      <w:pPr>
        <w:pStyle w:val="BodyText"/>
      </w:pPr>
    </w:p>
    <w:sectPr w:rsidR="00E055AA" w:rsidSect="00A036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8087" w14:textId="77777777" w:rsidR="009A1C0F" w:rsidRDefault="009A1C0F" w:rsidP="006301DC">
      <w:pPr>
        <w:spacing w:before="0" w:after="0"/>
      </w:pPr>
      <w:r>
        <w:separator/>
      </w:r>
    </w:p>
  </w:endnote>
  <w:endnote w:type="continuationSeparator" w:id="0">
    <w:p w14:paraId="3D5FFD9A" w14:textId="77777777" w:rsidR="009A1C0F" w:rsidRDefault="009A1C0F" w:rsidP="00630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9539"/>
      <w:docPartObj>
        <w:docPartGallery w:val="Page Numbers (Bottom of Page)"/>
        <w:docPartUnique/>
      </w:docPartObj>
    </w:sdtPr>
    <w:sdtEndPr>
      <w:rPr>
        <w:noProof/>
      </w:rPr>
    </w:sdtEndPr>
    <w:sdtContent>
      <w:p w14:paraId="2B61AA07" w14:textId="77777777" w:rsidR="006301DC" w:rsidRDefault="006301DC" w:rsidP="006301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D2F1" w14:textId="77777777" w:rsidR="009A1C0F" w:rsidRDefault="009A1C0F" w:rsidP="006301DC">
      <w:pPr>
        <w:spacing w:before="0" w:after="0"/>
      </w:pPr>
      <w:r>
        <w:separator/>
      </w:r>
    </w:p>
  </w:footnote>
  <w:footnote w:type="continuationSeparator" w:id="0">
    <w:p w14:paraId="016AAC4C" w14:textId="77777777" w:rsidR="009A1C0F" w:rsidRDefault="009A1C0F" w:rsidP="006301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5F29CF"/>
    <w:multiLevelType w:val="hybridMultilevel"/>
    <w:tmpl w:val="6E8E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6020D"/>
    <w:multiLevelType w:val="hybridMultilevel"/>
    <w:tmpl w:val="BBD2EFA0"/>
    <w:lvl w:ilvl="0" w:tplc="CD68A51A">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4DB7DA9"/>
    <w:multiLevelType w:val="hybridMultilevel"/>
    <w:tmpl w:val="1C5C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4"/>
  </w:num>
  <w:num w:numId="10">
    <w:abstractNumId w:val="12"/>
  </w:num>
  <w:num w:numId="11">
    <w:abstractNumId w:val="7"/>
  </w:num>
  <w:num w:numId="12">
    <w:abstractNumId w:val="9"/>
  </w:num>
  <w:num w:numId="13">
    <w:abstractNumId w:val="8"/>
  </w:num>
  <w:num w:numId="14">
    <w:abstractNumId w:val="10"/>
  </w:num>
  <w:num w:numId="15">
    <w:abstractNumId w:val="13"/>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A"/>
    <w:rsid w:val="00023E68"/>
    <w:rsid w:val="00051B7F"/>
    <w:rsid w:val="000A0531"/>
    <w:rsid w:val="00116413"/>
    <w:rsid w:val="001326B2"/>
    <w:rsid w:val="00144C89"/>
    <w:rsid w:val="00181EDE"/>
    <w:rsid w:val="00204779"/>
    <w:rsid w:val="00261265"/>
    <w:rsid w:val="00267310"/>
    <w:rsid w:val="002677C4"/>
    <w:rsid w:val="00297D38"/>
    <w:rsid w:val="002C79D6"/>
    <w:rsid w:val="002D4E2D"/>
    <w:rsid w:val="002F5521"/>
    <w:rsid w:val="00336C1E"/>
    <w:rsid w:val="00351FD0"/>
    <w:rsid w:val="00376ECF"/>
    <w:rsid w:val="0037708A"/>
    <w:rsid w:val="00393C75"/>
    <w:rsid w:val="003B41DF"/>
    <w:rsid w:val="003C0E8F"/>
    <w:rsid w:val="003F5ABB"/>
    <w:rsid w:val="00416787"/>
    <w:rsid w:val="00430F5F"/>
    <w:rsid w:val="00465754"/>
    <w:rsid w:val="00465F58"/>
    <w:rsid w:val="004D2CA6"/>
    <w:rsid w:val="005214D2"/>
    <w:rsid w:val="005464F5"/>
    <w:rsid w:val="0055212A"/>
    <w:rsid w:val="005E534D"/>
    <w:rsid w:val="005F337F"/>
    <w:rsid w:val="00626E92"/>
    <w:rsid w:val="006301DC"/>
    <w:rsid w:val="00631F19"/>
    <w:rsid w:val="00634480"/>
    <w:rsid w:val="0065525B"/>
    <w:rsid w:val="00655E67"/>
    <w:rsid w:val="006730D8"/>
    <w:rsid w:val="006849E3"/>
    <w:rsid w:val="006C6CEB"/>
    <w:rsid w:val="006E7973"/>
    <w:rsid w:val="0072249E"/>
    <w:rsid w:val="00727F1C"/>
    <w:rsid w:val="00732647"/>
    <w:rsid w:val="00746472"/>
    <w:rsid w:val="0075745D"/>
    <w:rsid w:val="00764013"/>
    <w:rsid w:val="0079471A"/>
    <w:rsid w:val="00795F47"/>
    <w:rsid w:val="007B72E9"/>
    <w:rsid w:val="007F1D92"/>
    <w:rsid w:val="00822FD2"/>
    <w:rsid w:val="00840430"/>
    <w:rsid w:val="00840AC2"/>
    <w:rsid w:val="00841CA7"/>
    <w:rsid w:val="008755F2"/>
    <w:rsid w:val="008E33DD"/>
    <w:rsid w:val="008E4F87"/>
    <w:rsid w:val="008F0061"/>
    <w:rsid w:val="00974E8C"/>
    <w:rsid w:val="00996B99"/>
    <w:rsid w:val="009A1C0F"/>
    <w:rsid w:val="009B26B8"/>
    <w:rsid w:val="00A03680"/>
    <w:rsid w:val="00A2193F"/>
    <w:rsid w:val="00A75BA9"/>
    <w:rsid w:val="00A830A7"/>
    <w:rsid w:val="00A86A7C"/>
    <w:rsid w:val="00AB074C"/>
    <w:rsid w:val="00AF5E2E"/>
    <w:rsid w:val="00B3681B"/>
    <w:rsid w:val="00B4403F"/>
    <w:rsid w:val="00BF000E"/>
    <w:rsid w:val="00BF0494"/>
    <w:rsid w:val="00C21810"/>
    <w:rsid w:val="00C95864"/>
    <w:rsid w:val="00CD47B3"/>
    <w:rsid w:val="00D03B4E"/>
    <w:rsid w:val="00D44331"/>
    <w:rsid w:val="00D6673C"/>
    <w:rsid w:val="00D9218C"/>
    <w:rsid w:val="00DB788B"/>
    <w:rsid w:val="00E055AA"/>
    <w:rsid w:val="00E14844"/>
    <w:rsid w:val="00E4290D"/>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BC7C"/>
  <w15:chartTrackingRefBased/>
  <w15:docId w15:val="{8E28E725-E823-46DA-845E-7699606A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F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downloads/groundwater/publications/as-188-texas-groundwater-protection-strateg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gpc.texas.gov/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E822-5190-4D0E-9E4E-4394F866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TGPC GWI white paper outline, 05Sep2018</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TGPC GWI white paper outline, 05Sep2018</dc:title>
  <dc:subject/>
  <dc:creator>Kathy Mccormack</dc:creator>
  <cp:keywords>Texas Groundwater Protection Committee, Groundwater Issues Subcommittee, Texas Commission on Environmental Quality</cp:keywords>
  <dc:description/>
  <cp:lastModifiedBy>Kathy Mccormack</cp:lastModifiedBy>
  <cp:revision>3</cp:revision>
  <dcterms:created xsi:type="dcterms:W3CDTF">2022-06-20T21:20:00Z</dcterms:created>
  <dcterms:modified xsi:type="dcterms:W3CDTF">2022-06-20T21:33:00Z</dcterms:modified>
</cp:coreProperties>
</file>